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24.08.2020, оставленным без изменения постановлениями Девятого арбитражного апелляционного суда от 17.12.2020 и Арбитражного суда Московского округа от 06.04.2021,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ненадлежащую оценку доказательств.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деклараций по налогу на имущество организаций за 2014 года инспекция приняла решение об отказе в привлечении к ответственности за совершение налогового правонарушения, согласно которому обществу доначислен к уплате налог на имущество в размере 6 295 425 рублей. Не согласившись с решением инспекции, налогоплательщик обратился в арбитражный суд. Отказывая в удовлетворении заявленных требований, суды исходили из того, что принадлежащее налогоплательщику помещение с кадастровым номером 77:01:0001076:2367, находящееся в здании с кадастровым номером 77:01:0001076:1032, которое включено в Перечень объектов недвижимого имущества города Москвы, в отношении которого налоговая база определяется как его кадастровая стоимость на 2014 год, на основании постановления Правительства города Москвы от 23.11.2013 № 772-ПП, подлежит налогообложению исходя из кадастровой стоимости здания, определенной нормативным актом субъекта Российской Федерации, которым утверждены в установленном порядке результаты определения кадастровой стоимости объектов недвижимого имущества с учетом доли площади спорного помещения в общей площади здания. Кроме того, суды указали на то, что в соответствии с пунктом 6 статьи 378.2 Налогового кодекса Российской Федерации в случае, если в соответствии с законодательством Российской Федерации определена кадастровая стоимость здания, в котором расположено помещение, являющееся объектом налогообложения, но при этом кадастровая стоимость такого помещения не определена, налоговая база в отношении этого помещения определяется как доля кадастровой стоимости здания, в котором находится помещение, соответствующая доле, которую составляет площадь помещения в общей площади здания. На основании изложенного, суды пришли к выводу о том, что налоговая база по налогу на имущество организаций в отношении объекта недвижимого имущества, принадлежащего обществу, определена налоговым органом в соответствии с действующим законодательством. 3 Доводы общества, изложенные в кассационной жалобе, не свидетельствуют о существенном нарушении судами норм права при вынесении ими обжалуемых судебных актов, а сводятся, по существу, к несогласию с оценкой судами фактических обстоятельств, установленных в настоящем споре, что не является основанием для отмены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«Москапстрой-ТН»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