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(далее – реестр) требования в размере 3 164 473 рубля 90 копеек. Определением Арбитражного суда города Санкт-Петербурга и Ленинградской области от 07.10.2020 требование общества признано обоснованным и подлежащим включению в третью очередь реестра. Постановлением Тринадцатого арбитражного апелляционного суда от 17.02.2021, оставленным без изменения постановлением Арбитражного суда Северо-Западного округа от 19.04.2021, изменено определение суда первой инстанции от 07.10.2020, требования общества признаны подлежащими удовлетворению в очередности, предшествующей распределению ликвидационной квоты. В кассационной жалобе, поданной в Верховный Суд Российской Федерации, заявитель просит отменить указанные постановления судов апелляционной инстанции и округа, оставить в силе определение суда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апелляционный суд, руководствуясь положениями статей 142 и 148 Федерального закона от 26.10.2002 № 127-ФЗ «О несостоятельности (банкротстве)», позицией, изложенной в Обзоре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утвержденного Президиумом Верховного Суда Российской Федерации 29.01.2020, пришёл к мотивированному выводу о необходимости субординации требований общества. Суд округа поддержал выводы суда апелляционной инстанции. Выводы судов апелляционной инстанции и округа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«Ленинградский завод металлоизделий»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