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Дзепа Д.Н. обратился в суд с заявлением о включении в реестр требований кредиторов должника требований в сумме 17 952 876 рублей 71 копейки. Определением Арбитражного суда Нижегородской области от 02.06.2020, оставленным без изменения постановлениями Первого арбитражного апелляционного суда от 22.12.2020 и Арбитражного суда Волго-Вятского округа от 16.04.2021,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195, 196, 199 и 200 Гражданского кодекса Российской Федерации, пришли к выводу о пропуске срока исковой давности на предъявление требований, что является самостоятельным основанием к отказу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Дзепе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