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Гойфман И.Б. обратился в суд с заявлением о включении в реестр требований кредиторов должника требования в размере 7 000 000 рублей – основной долг, 87 021 рубля – проценты за пользование чужими денежными средствами. Определением Арбитражного суда города Москвы от 04.12.2020 заявление удовлетворено. Постановлением Девятого арбитражного апелляционного суда от 16.02.2021, оставленным без изменения постановлением Арбитражного суда Московского округа от 06.05.2021, отменено определение суда первой инстанции от 04.12.2020,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807, 808 и 810 Гражданского кодекса Российской Федерации, статей 71 и 100 Федерального закона от 26.10.2002 № 127-ФЗ «О несостоятельности (банкротстве)», исходили из отсутствия оснований для включения требований Гойфмана И.Б. в реестр ввиду недоказанности реальности отношений, положенных в основу его требований.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Гойфману Илье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