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министерство обратилось в суд с заявлением о включении в реестр требований кредиторов должника (далее –реестр) требования в размере 90 054 752 рубля 25 копеек неустойки. Определением Арбитражного суда города Санкт-Петербурга и Ленинградской области от 03.12.2010, оставленным без изменения постановлением Тринадцатого арбитражного апелляционного суда от 19.02.2020, требование включено в третью очередь реестра с отдельным учётом и удовлетворением после погашения основного долга. Постановлением Арбитражного суда Северо-Западного округа от 14.08.2020 вышеуказанные судебные акты отменены, дело направлено на новое рассмотрение. При новом рассмотрении определением Арбитражного суда города Санкт-Петербурга и Ленинградской области от 23.11.2020, оставленным без изменения постановлением Тринадцатого арбитражного апелляционного суда от 01.02.2021, требование включено в третью очередь реестра с отдельным учётом и удовлетворением после погашения основного долга. 2 Постановлением Арбитражного суда Северо-Западного округа от 15.04.2021 вышеуказанные судебные акты отменены, отказано в удовлетворении заявления. В кассационной жалобе, поданной в Верховный Суд Российской Федерации, заявитель просит отменить указанное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и отказывая в удовлетворении требований, суд округа, руководствуясь положениями пункта 7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пункта 6 статьи 6 Федерального закона от 29.12.2012 № 275-ФЗ «О государственном оборонном заказе», Регламента Министерства обороны Российской Федерации, утверждённого приказом Министра обороны Российской Федерации от 10.01.2015 № 1, обоснованно исходил из отсутствия оснований для удовлетворения требований по заявленным основаниям.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обороны Российской Федерации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