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Краюшина Ирина Алексеевна обратилась в суд с заявлением о признании недействительной сделкой зачёта встречных однородных требований от 01.08.2018 между должником и обществом на общую сумму 509 824 рубля 90 копеек, применении последствий недействительности сделки. Определением Арбитражного суда города Москвы от 16.09.2020, оставленным без изменения постановлениями Девятого арбитражного апелляционного суда от 12.01.2021 и Арбитражного суда Московского округа от 10.03.2021,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в суд первой инстанции. Письмом Верховного суда Российской Федерации от 28.06.2021 материалы дела № А40-242586/2018, касающиеся данного спора,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руководствуясь положениями статей 61.1 и 61.3 Федерального закона от 26.10.2002 № 127-ФЗ «О несостоятельности (банкротстве)», исходили из доказанности оснований для удовлетворения требований по заявленным основаниям, правомерно применив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«Великолукский локомотивовагоноремонтный завод»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