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исковым заявлением к Александровой Каринэ Валерьевне (далее – должник) о взыскании 20 810 677 рублей 06 копеек неосновательного обогащения и 1 932 399 рублей 64 копеек процентов за пользование чужими денежными средствами, начисленных с 14.09.2018 по 14.12.2019. Определением Арбитражного суда Владимирской области от 02.12.2020, оставленным без изменения постановлениями Первого арбитражного апелляционного суда от 26.02.2021 и Арбитражного суда Волго-Вятского округа от 04.06.2021, исковое заявление оставлено без рассмотрения.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Оставляя исковое заявление без рассмотрения, суды, руководствуясь пунктом 4 части 1 статьи 148 Арбитражного процессуального кодекса Российской Федерации, статьями 100, 126, 213.24 Федерального закона от 26.10.2002 № 127-ФЗ «О несостоятельности (банкротстве)», пунктом 1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(банкротстве)», исходили из того, что момент исполнения возникшего до банкротства обязательства должника наступил после введения процедуры реализации, в связи с чем признали его подлежащим рассмотрению в деле о несостоятельности (банкротстве) должника. Иной подход приведёт к нарушению требований законодательства о банкротстве и прав кредиторов, требования которых должны погашаться с соблюдением принципов очерёдности и пропорциональности.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«Штарк»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