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707 134 457 рублей 98 копеек. Определением Арбитражного суда города Санкт-Петербурга и Ленинградской области от 11.08.2020 заявление удовлетворено. Постановлением Тринадцатого арбитражного апелляционного суда от 19.01.2021, оставленным без изменения постановлением Арбитражного суда Северо-Западного округа от 15.04.2021,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статьями 363, 807 Гражданского кодекса Российской Федерации, статьи 19, 71, 100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РФ 29.01.2020 и обоснованно не установили законных оснований для включения в реестр требования общества.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ограниченной ответственностью «Геликон»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