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«Управляющая компания «Система» (далее – общество) обратилось в суд с заявлением о включении в реестр требований кредиторов должника (далее – реестр) 3 066 137 рублей 24 копеек основного долга, 972 197 рублей 34 копеек неустойки, 43 193 рублей судебных расходов. Определением Арбитражного суда Московской области от 26.08.2020, оставленным без изменения постановлениями Десятого арбитражного апелляционного суда от 01.02.2021 и Арбитражного суда Московского округа от 07.06.2021,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обоснованности требований ввиду доказанности наличия и размера задолженности, неустойки и судебных расходов, ранее установленных в завершённом исковом производстве, в связи с чем удовлетворили заявление.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Захаренкову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