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Мартыненко Александр Владимирович обратился в суд с заявлением о признании недействительной сделкой соглашения о зачёте встречных однородных требований от 10.04.2018, заключенного между должником и Лапоновой Т.Н. Определением Арбитражного суда Брянской области от 06.11.2020, оставленным без изменения постановлениями Двадцатого арбитражного апелляционного суда от 26.01.2021 и Арбитражного суда Центрального округа от 22.04.2021,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Брянской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пунктом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недействительной оспариваемой сделки, совершенной в период подозрительности с целью причинения вреда кредиторам посредством передачи неплатёжеспособным должником актива (дебиторской задолженности) в пользу заинтересованного и не опровергнувшего соответствующие презумпции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Лапоновой Татьяне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