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об исправлении описок (опечаток) в тексте определения Арбитражного суда Московской области от 26.12.2018 о процессуальном правопреемстве. Определением Арбитражного суда Московской области от 30.10.2020, оставленным без изменения постановлениями Десятого арбитражного апелляционного суда от 05.03.2021 и Арбитражного суда Московского округа от 03.06.2021,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159, 179 Арбитражного процессуального кодекса Российской Федерации, действовали в соответствии с процессуальным законом, в рамках предоставленных им полномочий, не нарушили ни принципа правовой определенности, ни законные интересы лиц, участвующих в деле, и не установили оснований для исправления указанной заявителем опечатки как направленной на изменение содержания судебного акта, что действующим процессуальным законодательством не допускается.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«Электрумстрой»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