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Плотникова Татьяна Александровна обратилась в суд с заявлением об истребовании у Молочникова М.В. и Штркачовой Даниелы бухгалтерской и иной документации должника, печати, штампов, материальных и иных ценностей, касающихся деятельности должника. Определением Арбитражного суда Свердловской области от 28.10.2020, оставленным без изменения постановлениями Семнадцатого арбитражного апелляционного суда от 21.01.2021 и Арбитражного суда Уральского округа от 20.04.2021, заявление удовлетворено в части требований к Молочникову М.В.; в удовлетворении остальной части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308.3 Гражданского кодекса Российской Федерации, статьёй 126 Федерального закона от 26.10.2002 № 127-ФЗ «О несостоятельности (банкротстве)», исходили из формальной передачи заявителем иностранному лицу корпоративного контроля над должником в период возникновения у последнего признаков объективного банкротства, в связи с чем обязали его передать конкурсному управляющему испрашиваемую документацию, материальные и иные ценности, отказав в остальной части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Молочникову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