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10.06.2020, оставленным без изменения постановлениями Девятнадцатого арбитражного апелляционного суда от 10.12.2020 и Арбитражного суда Центрального округа от 23.03.2021, заявленные требования удовлетворены. В жалобе управление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возбужденного на основании обращения общества, управлением принято решение от 11.11.2019, которым действия предпринимателя, выраженные во введении в гражданский оборот на территории Российской Федерации товара - мороженое «Воронежское двухслойное», имитирующего товар - мороженое «МРАМОРНОЕ» производства общества, признаны актом недобросовестной конкуренции, противоречащим пункту 2 статьи 14.6 Федерального закона от 26.07.2006 № 135-Ф3 «О защите конкуренции» (далее - Закона о защите конкуренции). Предписанием антимонопольного органа на предпринимателя возложена обязанность прекратить введение в гражданский оборот (реализацию) на территории Российской Федерации товара - мороженое «Воронежское двухслойное» в упаковке, имитирующего товар - мороженое «МРАМОРНОЕ». Не согласившись с ненормативными правовыми актами управления, предприниматель обратился в арбитражный суд. Удовлетворяя заявленные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10.bis Конвенции по охране промышленной собственности от 20.03.1883, пункта 9 статьи 4, пункта 2 статьи 14.6 Закона о защите конкуренции, принимая во внимание выводы судебной экспертизы, пришли к выводу о том, что оспариваемые решение и предписание не соответствуют требованиям законодательства и нарушают права и законные интересы заявителя. Судебные инстанции исходили из отсутствия нарушений антимонопольного законодательства со стороны предпринимателя. При исследовании обстоятельств спора не установлены направленность действий предпринимателя на получение преимущества от продажи мороженого «Воронежское двухслойное» в спорной упаковке и занятие более выгодного положения на товарном рынке, либо создание условий, ограничивающих или устраняющих возможность доступа общества на соответствующий товарный рынок, а также схожесть упаковок мороженого «МРАМОРНОЕ» и «Воронежское двухслойное» до степени смешения. 3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Возражения заявителя по существу направлены на несогласие с выводами судов и переоценку установленных фактических обстоятельств по делу,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Воронежской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