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25.08.2020, оставленным без изменения постановлениями Девятого арбитражного апелляционного суда 2 от 26.11.2020 и Арбитражного суда Московского округа от 25.03.2021, в удовлетворении заявленных требований отказано. В кассационной жалобе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исполнительного листа от 08.11.2019 № ФС 033154746, выданного Арбитражным судом города Москвы по делу № А40-193492/2017, возбуждено исполнительное производство от 06.12.2019 № 122729/19/77033-ИП в отношении предприятия (должник). Судебным приставом-исполнителем вынесено постановление от 22.04.2020 № 77033/20/396571 об окончании исполнительного производства в связи с фактическим исполнением. Полагая, что должностные лица службы судебных приставов-исполнителей допустили бездействие и не приняли всех необходимых мер, направленных на своевременное исполнение исполнительного документа, а также неправомерно вынесли постановление об окончании исполнительного производства, общество обратилось в арбитражный суд с соответствующим заявлением.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198, 200, 201, 329 Арбитражного процессуального кодекса Российской Федерации, Федерального закона от 02.10.2007 № 229-ФЗ «Об исполнительном производстве», Федерального закона от 21.07.1997 № 118-ФЗ «О судебных приставах», суды, установив, что решение Арбитражного суда города Москвы по делу № А40-193492/2017 исполнено должником в полном объеме, не усмотрели оснований для признания недействительным постановления судебного пристава-исполнителя от 22.04.2020 об окончании исполнительного производства № 122729/19/77033-ИП, а также незаконным бездействия должностных лиц службы судебных приставов-исполнителей. 3 При исследовании обстоятельств дела установлено, что основанием для принятия решения по делу № А40-193492/2017 о демонтаже топливных контейнеров явился не факт их незаконного размещения на земельном участке, а нарушение конкретных требований пожарной безопасности; подрядчиком предприятия выполнены работы по демонтажу топливных контейнеров и оборудованию новой площадки с размещением модернизированных топливных контейнеров; вновь установленные объекты существенно отличаются от демонтированных, имеют иное месторасположение; в отношении вновь созданных объектов отсутствуют судебные акты, свидетельствующие о неправомерности их установки, либо необходимости демонтажа. При изложенных обстоятельствах у судебного пристава-исполнителя имелись достаточные основания для окончания исполнительного производства в связи с фактическим исполнением требований исполнительного документа. Приведенные в кассационной жалобе доводы не свидетельствуют о неправильном применении судами норм материального и процессуального права, повлиявшем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Несогласие заявителя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«Фирма «Интероргсинтез»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