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повторного рассмотрения спора решением суда первой инстанции от 25.09.2020, оставленным без изменения постановлениями Шестого арбитражного апелляционного суда от 08.12.2020 и Арбитражного суда Дальневосточного округа от 24.03.2021,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иска общество (подрядчик) ссылается на неисполнение со стороны учреждения (заказчик) обязательств по оплате фактически выполненных работ по государственному контракту от 23.04.2018 на выполнение работ по разработке научно-проектной документации для ремонтно-реставрационных работ (капитальный ремонт) по сохранению объекта культурного наследия. Оценив представленные в материалы дела доказательства, в том числе результаты судебной строительно-технической экспертизы, суды, руководствуясь положениями статей 309 , 310 , 753 , 760 , 761 , 762 Гражданского кодекса Российской Федерации, пришли к выводу об отсутствии оснований для удовлетворения иска. Судебные инстанции исходили из того, что разработанная подрядчиком научно-проектная документация имеет значительное количество недостатков, не соответствует требованиям законодательства в области государственной охраны объектов культурного наследия и не может быть использована по целевому назначению. При исследовании обстоятельств дела установлено, что количество и характер допущенных подрядчиком недостатков свидетельствуют о необходимости выполнить работы заново.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общества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«Наследие»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"Наследие" (подробнее) Ответчики: ФКУ "Центр управления в кризисных ситуациях Главного управления МЧС России по Хабаровскому краю" (подробнее) Иные лица: Арбитражный суд Пермского края (подробнее) Главное управление МЧС России по Хабаровскому краю (подробнее) Мотовилихинский районный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