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22.06.2020, оставленным без изменения постановлением Двадцать первого арбитражного апелляционного суда от 28.08.2020 и постановлением Арбитражного суда Центрального округа от 25.03.2021, исковые требования удовлетворены. В кассационной жалобе, поданной в Верховный Суд Российской Федерации, общество просит изменить указанные судебные акты, ссылаясь неправомерное неприменение статьи 333 Гражданского кодекса Российской Федерации при определении взыскиваемой с него неустойки.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и удовлетворяя заявленные требования,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 310 , 329 , 330 , 421 , 779 , 781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того, что обществом не опровергнуто прохождение судами под его агентированием забровочным плаванием Керченского пролива (подходов, Керчь-Еникальского канала, акватории морского порта Керчь) транзитом и не представлены доказательства оплаты спорной суммы задолженности. Отказывая в удовлетворении заявления общества о снижении пеней на основании статьи 333 Гражданского кодекса Российской Федерации, суды пришли к выводу о недоказанности им несоразмерности размера пеней последствиям нарушения обязательства. Суд округа признал выводы судов первой и апелляционной инстанций законными и обоснованными. Доводы кассационной жалобы не опровергают приведенные выводы судов, направлены на переоценку обстоятельств дела,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«Трансоптимал»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ГУП РЕСПУБЛИКИ КРЫМ "КРЫМСКИЕ МОРСКИЕ ПОРТЫ" (подробнее) Филиал Государственного унитарного предприятия Республики Крым "КРЫМСКИЕ МОРСКИЕ ПОРТЫ" "КЕРЧЕНСКИЙ ТОРГОВЫЙ ПОРТ" (подробнее) Ответчики: ООО "Трансоптимал" (подробнее) Судьи дела: Чучунова Н.С.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