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должника (ФИО2) ФИО1 обратился в Арбитражный суд города Москвы с иском, уточненным в порядке статьи 49 Арбитражного процессуального кодекса Российской Федерации, о взыскании с публичного акционерного общества «Транскапиталбанк» 1 265 840 рублей 11 копеек убытков и 139 769 рублей 13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ПАО Банк ВТБ. Решением Арбитражного суда города Москвы от 12.03.2020 в удовлетворении иска отказано. Постановлением Девятого арбитражного апелляционного суда от 21.10.2020 решение суда первой инстанции оставлено без изменения. Арбитражный суд Московского округа постановлением от 22.03.2021 указанные судебные акты оставил без изменения. Финансовый управляющий Крылов Александр Валерьевич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213.7, 213.9, 213.11, 213.25 Федерального закона от 26.10.2002 № 127-ФЗ «О несостоятельности (банкротстве)», статей 15 , 393 , 401 Гражданского кодекса Российской Федерации, Положением ЦБ РФ от 24.12.2004 № 266-П «Об эмиссии банковских карт и об операциях, совершаемых с использованием платежных карт», суды сделали вывод о недоказанности финансовым управляющим наличия совокупности условий, необходимых для привлечения банка к ответственности в виде взыскания убытков.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