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обратилась в суд с заявлением о включении в реестр требований кредиторов должника 364 559 639 рублей основного долга и 84 079 958 рублей процентов. Определением Арбитражного суда города Москвы от 15.08.2019, оставленным без изменения постановлениями Девятого арбитражного апелляционного суда от 09.12.2019 и Арбитражного суда Московского округа от 25.02.2020,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судебный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судебной технической экспертизы в соответствии с правилами главы 7 Арбитражного процессуального кодекса Российской Федерации, руководствуясь статьями 71, 100, 213.8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 на отсутствие доказательств, подтверждающих реальность заёмных правоотношений, наличия неисполненных обязательств должника перед аффилированным заявителем в условиях нераскрытия источников происхождения денежных средств, непредставления документов, прямо указывающих на совершение операций с ними (первичные бухгалтерские документы или банковские выписки) именно должником, в связи с чем не усмотрели оснований для удовлетворения требования.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Арбитражный управляющий Московский Дмитрий Владимирович (подробнее) ГК АСВ (подробнее) Главное управление по вопросам миграции МВД России (подробнее) Департамент труда и социальной защиты населения г. Москвы (подробнее) НП "Саморегулируемая организация арбитражных управляющих субъектов естественных монополий топливно-энергетического комплекса" (подробнее) Росфинмониторинг (подробнее) ФГБУ РФ Федеральный центр судебной экспертизы при Минюсте РФ (подробнее) Ф/У МОСКОВСКИЙ (подробнее) Судьи дела: Корнелюк Е.С. (судья) (подробнее) Последние документы по делу: Определение от 15 июля 2021 г. по делу № А40-20070/2017 Определение от 3 июня 2020 г. по делу № А40-20070/2017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