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28.08.2020 иск общества удовлетворен. Постановлением Пятнадцатого арбитражного апелляционного суда от 24.12.2020 решение суда первой инстанции отменено, в удовлетворении иска отказано. 2 Арбитражный суд Северо-Кавказского округа постановлением от 24.03.2021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существенные нарушения норм материального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обоснование иска обществом указано, что денежных средств, вырученных от продажи земельного участка предпринимателя (должник), недостаточно для исполнения судебного акта о взыскании неосновательного обогащения по договору оказания юридических услуг. При этом облагаемый налогом доход должника, полученный в 2016 году, подлежит уменьшению, а сумма излишне уплаченного налога в размере 734 213 рублей 16 копеек возврату налогоплательщику в связи с применением упрощенной системы налогообложения. Удовлетворяя иск общества, суд первой инстанции исходил из того, что под правом на получение налогового вычета понимается право на получение денежных средств, которое является имущественным правом, на которое может быть обращено взыскание. Отменяя решение суда первой инстанции и отказывая в удовлетворении иска, суд апелляционной инстанции, руководствуясь положениями пункта 3 статьи 2, статьи 12 Гражданского кодекса Российской Федерации, статей 21, 32, 78, 79 Налогового кодекса Российской Федерации, статей 64, 68 Федерального закона от 02.10.2007 № 229-ФЗ «Об исполнительном производстве», соглашением Федеральной службы судебных приставов Российской Федерации от 04.04.2014 № 0001/7, Федеральной налоговой службы Российской Федерации от 14.04.2014 № ММВ-23-8/3@ «О порядке взаимодействия Федеральной налоговой службы и Федеральной службы судебных приставов при исполнении исполнительных документов», пришел к выводу о том, что обществом избран ненадлежащий способ защиты нарушенного права, с чем согласился суд округа. 3 При этом суды исходили из того, что обращение взыскания на имущественное право производится судебным приставом-исполнителем в рамках возбужденного исполнительного производства в целях принудительного исполнения требований исполнительного документа Кроме того, при исследовании обстоятельств дела установлено, что решением налогового органа предпринимателю отказано в возврате налога, в связи с отсутствием переплаты; доказательства обжалования решения инспекции не представлены. Доводы кассационной жалобы основаны на ошибочном толковании норм права,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«Катализатор»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