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02.10.2020, оставленным без изменения постановлениями Девятого арбитражного апелляционного суда 2 от 23.12.2020 и Арбитражного суда Московского округа от 29.03.2021, иск министерства удовлетворен.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Основанием для обращения в арбитражный суд с настоящим иском послужило ненадлежащее исполнение обществом (исполнитель) обязательств по государственному контракту от 11.09.2017, заключенному с министерством (заказчик) на оказание услуг по охране учреждения. Оценив представленные в материалы дела доказательства, суды, руководствуясь положениями статей 309, 330, 779 Гражданского кодекса Российской Федерации, пришли к выводу о наличии оснований для возложения на ответчика гражданско-правовой ответственности в виде выплаты штрафа. Судебные инстанции исходили из ненадлежащего оказания услуг исполнителем (услуги не соответствовали требованиям контракта к качеству). 3 Доводы, изложенные в кассационной жалобе, не свидетельствуют о существенных нарушениях судами норм материального и процессуального права, повлиявших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 связи с чем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«Охранное предприятие «Иваныч»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