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14.08.2020, оставленным без изменения постановлением Семнадцатого арбитражного апелляционного суда от 03.12.2020 и постановлением Арбитражного суда Уральского округа от 15.03.2021, в удовлетворении заявленного требования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управление многоквартирным домом. На основании распоряжения заместителя начальника инспекции от 10.12.2019 № 12016л в отношении управляющей компании проведена внеплановая документарная проверка, результаты отражены в акте проверки от 23.01.2020 № 12016л. В ходе проверки инспекцией установлено, что обществом в период с августа по октябрь 2019 года собственникам (пользователям) жилых помещений многоквартирного дома предъявлен размер платы за содержание жилого помещения в строке «содержание жилья и ремонт», не установленный решением общего собрания. В целях устранения выявленного нарушения обществу выдано предписание произвести перерасчет размера платы за содержание жилого помещения. Не согласившись с указанным предписанием, общество обратилось в арбитражный суд.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Жилищного кодекса Российской Федерации, пришли к выводу о том, что оспариваемое предписание соответствует действующему законодательству и не нарушает права и законные интересы заявителя. Судебные инстанции исходили из доказанности жилищной инспекцией обстоятельств неправомерного установления размера платы за содержание жилья и текущий ремонт. Суды указали, что решением общего собрания собственников помещений в многоквартирном доме (протокол от 31.07.2018 № 5) утвержден размер платы за содержание жилого помещения и текущий ремонт общего имущества на период с 01.08.2018 по 31.07.2019 в размере 15,91 руб. за 1 кв. м. При этом на общем собрании собственников жилых помещений 31.07.2019 принято решение о том, что тариф на содержание и ремонт на период с 01.08.2019 до 31.07.2020 остается в прежнем размере 15,91 руб. за 1 кв. м. Данное решение собрания является действующим, в установленном порядке не оспорено, недействительным не признано. 3 Суды также отметили, что обществом не представлено документальных доказательств, свидетельствующих о том, что установленный собственниками помещений спорного многоквартирного дома размер платы за содержание и ремонт общего имущества в многоквартирном доме не позволяет обеспечивать содержание общего имущества в спорном многоквартирном доме в соответствии с требованиями законодательства и не отвечает требованиям разумности, в связи с чем признали оспариваемое предписание законным. Доводы общества, изложенные в кассационной жалобе, в том числе о толковании условий договора об индексации установленного тарифа, являлись предметом рассмотрения судов трех инстанций и им дана надлежащая правовая оценка. Изложенные в кассационной жалобе доводы повторяют позицию заявителя по спору,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«Чайковская»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