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Поскольку ходатайство о восстановлении пропущенного процессуального срока заявлено предпринимателем в пределах установленного срока, причины пропуска срока признаны судом уважительными, данное ходатайство подлежит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Мизгирёва Евгения Валерьевича удовлетворить. Срок подачи кассационной жалобы на решение Арбитражного суда города Москвы от 17.11.2020, постановление Девятого арбитражного апелляционного суда от 16.02.2021 и постановление Арбитражного суда Московского округа от 27.04.2021 по делу № А40-28312/2019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