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28.09.2020, оставленным без изменения постановлением 2 Тринадцатого арбитражного апелляционного суда от 15.12.2020 и постановлением Арбитражного суда Северо-Западного округа от 25.03.2021, первоначальные требования удовлетворены, в удовлетворении встречных требований отказано.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принять новый судебный акт об удовлетворении встречных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требования компании мотивированы тем, что нарушение обществом правил безопасности и строительства при проведении строительных работ в принадлежащем ему на праве собственности помещении повлекло наступление последствий в виде разрушения отдельных строительных конструкций и их частей (обрушение надподвального перекрытия) в многоквартирном доме, находящемся в управлении компании. Общество в обоснование заявленных требований сослалось на ненадлежащее исполнение компанией обязательств по содержанию жилого дома. Исследовав и оценив по правилам статьи 71 Арбитражного процессуального кодекса Российской Федерации представленные в материалы дела доказательства, в том числе заключение судебной экспертизы, суды первой и апелляционной инстанций установили, что обрушение надподвального перекрытия в принадлежащем компании помещении произошло в результате превышения сверхнормативной нагрузки на междуэтажное перекрытие в связи с установкой кассового оборудования со стеллажами, которые на момент обрушения были заполнены продовольственными товарами, несоблюдения требований проектной документации, разработанной обществом с ограниченной ответственностью «Жилкомстрой», а также выводов, указанных в техническом заключении названного общества, о необходимости произвести усиление или замену перекрытия над помещением № 2 в связи с ненормативным прогибом металлических балок и заполнения. При таких обстоятельствах, руководствуясь статьями 15, 210, 211, 1064 Гражданского кодекса Российской Федерации, статьей 30 Жилищного кодекса Российской Федерации, исходя из доказанности 3 состава убытков, о возмещении которых заявила компания, и отсутствия вины последней в произошедшем обрушении, суды пришли к выводу о наличии оснований для удовлетворения первоначальных требований и отказа в удовлетворении встречного иска. Суд округа согласился с выводами судов первой и апелляционной инстанций.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«Лайн»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