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15.10.2021 (согласно отметке почтового органа на конверте) обратился в Верховный Суд Российской Федерации с жалобой на определение судьи Верховного Суда Российской Федерации от 14.07.2021 № 306-ЭС21-10339, решение Арбитражного суда Астраханской области от 07.09.2020, постановление Двенадцатого арбитражного апелляционного суда от 11.11.2020 и постановление Арбитражного суда Поволжского округа от 11.03.2021 по делу № А06-3923/2020,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Доводов, обосновывающих уважительность пропуска рассматриваемого срока, заявителем не приведено.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 , 2912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индивидуального предпринимателя ФИО1 о восстановлении пропущенного процессуального срока отказать. Жалобу возвратить заявителю.Судья Верховного СудаРоссийской Федерации А.Н. Маненков Суд: Верховный Суд РФ (подробнее) Истцы: Администрация МО "Икрянинский район" (подробнее) Иные лица: Арбитражный суд Астраханской области (подробнее) АСПО (подробнее) Двенадцатый Арбитражный апелляционный суд (подробнее) ИФНС по Кировскому району гор.Астрахани (подробнее) Судьи дела: Маненков А.Н.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