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11.07.2021 в электронном виде направил в Верховный Суд Российской Федерации кассационную жалобу на указанные выше судебные акты, в которой заявил ходатайство о восстановлении пропущенного процессуального срока.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10.03.2021, на момент обращения 2 заявителя в Верховный Суд Российской Федерации с настоящей кассационной жалобой двухмесячный срок, установленный статьей 291.2 Кодекса,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Кодекса (часть 3 статьи 291.2 Кодекса). Согласно положениям части 2 статьи 117 Кодекса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Кодекса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качестве основания для восстановления пропущенного процессуального срока заявителем указано на то, что длительное время общество не имело возможности ознакомиться с материалами дела в электронном виде. Рассмотрев указанное ходатайство, суд не находит оснований для его удовлетворения, поскольку приведенные учреждением причины пропуска процессуального срока нельзя признать уважительными. Из судебного акта суда кассационной инстанции усматривается, что представитель общества принимал участие в судебном заседании данного суда, в котором была объявлена резолютивная часть обжалуемого постановления, и впоследствии располагал возможностью ознакомиться с судебным актом, изготовленном в полном объеме 10.03.2021 и опубликованном на официальном сайте в информационно-телекоммуникационной сети Интернет 11.03.2021. Имея намерение обжаловать принятые судебные акты, являясь юридическим лицом и участником судебного спора, заявитель, при той степени заботливости и разумной осмотрительности, какая от него требовалась, располагал возможностью своевременного обжалования судебных актов. В силу части 2 статьи 9 Кодекса лица, участвующие в деле, несут риск наступления последствий совершения или не совершения ими процессуальных действий. На основании вышеизложенного, правовые основания для удовлетворения ходатайства и восстановления срока отсутствуют, а кассационная жалоба подлежит возврату заявителю на основании пункта 3 части 1 статьи 291.5 Кодекса. 3 Так как кассационная жалоба подана в электронном виде, бумажный носитель с текстом кассационной жалобы возврату не подлежит. Вопрос о возврате государственной пошлины из федерального бюджета, в силу абзаца 2 пункта 3 статьи 333.40 Налогового кодекса Российской Федерации, решается только при наличии оригинала документа, подтверждающего ее уплату. Руководствуясь статьями 117, 184, 185, 291.2 Кодекса,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«ПЕРСПЕКТИВА» о восстановлении пропущенного процессуального срока на подачу кассационной жалобы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