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КБ «Рублев» в лице конкурсного управляющего – государственной корпорации «Агентство по страхованию вкладов»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«Форсаж» 268 832 317 рублей 61 копейки, в том числе 141 842 832 рублей 27 копеек основного долга, 27 334 938 рублей 47 копеек процентов, 83 496 714 рублей 14 копеек неустойки за просрочку погашения основного долга, 16 157 832 рублей 73 копеек неустойки за просрочку погашения процентов. Решением Арбитражного суда города Москвы от 30.07.2020 иск удовлетворен. Постановлением Девятого арбитражного апелляционного суда от 09.11.2020 решение суда первой инстанции оставлено без изменения. Арбитражный суд Московского округа постановлением от 18.03.2021 указанные судебные акты оставил без изменения. 2 Общество с ограниченной ответственностью «Форсаж»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807, 809, 810 Гражданского кодекса Российской Федерации и исходили из доказанности факта предоставления кредита по кредитному договору, отсутствия доказательств, свидетельствующих о возврате кредита и причитающихся процентов, наступления предусмотренных кредитным договором оснований для досрочного взыскания суммы кредита и начисления штрафных санкций, уведомления ответчика о надлежащем способе исполнения обязательств по кредитному договору.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«Форсаж»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