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Хорьков Андрей Юрьевич обратился в Арбитражный суд Нижегородской области с иском, уточненным в порядке статьи 49 Арбитражного процессуального кодекса Российской Федерации, о взыскании с акционерного общества «Государственный научно- исследовательский институт «Кристалл» 53 000 рублей ущерба в результате повреждения имущества и 10 000 рублей расходов на оценку. К участию в деле в качестве третьего лица, не заявляющего самостоятельных требований относительно предмета спора, привлечено акционерное общество «СОГАЗ». Решением Арбитражного суда Нижегородской области от 20.08.2020 иск удовлетворен. Постановлением Первого арбитражного апелляционного суда от 16.11.2020 решение суда первой инстанции оставлено без изменения. Арбитражный суд Волго-Вятского округа постановлением от 18.03.2021 указанные судебные акты оставил без изменения. 2 Акционерное общество «ГосНИИ «Кристалл» обратилось в Судебную коллегию Верховного Суда Российской Федерации с кассационной жалобой на принятые по делу судебные акты, ссылаясь на нарушение судами норм материального и процессуального права. Согласно пункту 1 части 7 статьи 291.6 АПК РФ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АПК РФ).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том числе экспертное заключение, в их совокупности и взаимной связи по правилам статьи 71 Арбитражного процессуального кодекса Российской Федерации, признав доказанными факт повреждения имущества истца, причину его повреждения, а также размер ущерба, руководствуясь положениями статей 15, 393, 1064 Гражданского кодекса Российской Федерации, суды пришли к выводу о наличии оснований для удовлетворения иска. Несогласие заявителя кассационной жалобы с произведенной судами оценкой представленных доказательств и обстоятельств дела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319 Арбитражного процессуального кодекса Российской Федерации, суд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«ГосНИИ «Кристалл»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