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26.10.2020, оставленным без изменения постановлением Девятого арбитражного апелляционного суда от 02.02.2021 и постановлением Арбитражного суда Московского округа от 21.04.2021, исковые требования удовлетворены. В кассационной жалобе, поданной в Верховный Суд Российской Федерации, фабрика,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395, 779, 781, 823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суды первой и апелляционной инстанций пришли к выводу об обоснованности исковых требований, исходя из отсутствия доказательств погашения фирмой спорной задолженности. С указанными выводами впоследствии согласился суд округа, мотивированно отклонив доводы фирмы о необоснованном отказе апелляционного суда в приобщении дополнительных доказательств.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«Балтийская табачная фабрика»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