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19.10.2020, оставленным без изменения постановлением Второго арбитражного апелляционного суда от 29.12.2020 и постановлением Арбитражного суда Волго-Вятского округа от 05.04.2021,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 частичном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основанием для обращения компании (организация водопроводно-канализационного хозяйства) в арбитражный суд с настоящим иском явилось неисполнение обществом (абонент) ее требования о внесении платы за негативное воздействие на работу централизованной системы водоотведения.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негативного воздействия на работу централизованной системы водоотведения, руководствуясь положениями Гражданского кодекса Российской Федерации, Федерального закона от 07.12.2011 № 416-ФЗ «О водоснабжении и водоотведении», Правилами осуществления контроля состава и свойств сточных вод, утвержденными постановлением Правительства Российской Федерации от 21.06.2013 № 525, Правилами холодного водоснабжения и водоотведения, утвержденными постановлением Правительства Российской Федерации от 29.07.2013 № 644 (далее - Правила № 644), суды первой и апелляционной инстанций пришли к выводу о наличии оснований для удовлетворения иска. Расчет платы за негативное воздействие на работу централизованной системы водоотведения, произведенный компанией на основании пункта 123 Правил № 644, судами проверен и признан обоснованным. Судами указано на отсутствие условий, необходимых для применения при расчете формулы, установленной в пункте 123(4) Правил № 644. Суд округа согласился с выводами судов первой и апелляционной инстанций. Доводы заявителя, не опровергнувшего в установленном порядке результаты отбора проб сточных вод, сводятся к несогласию с произведенным истцом расчетом платы, являлись предметом исследования судов, мотивированно отклонены и по существу направлены на переоценку доказательств и установленных судами обстоятельств дела.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«Монолит»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