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19.11.2020, оставленным без изменения постановлением Первого арбитражного апелляционного суда от 26.01.2020 и постановлением Арбитражного суда Волго-Вятского округа от 15.04.2021,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2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166, 168, 382, 384, 388 Гражданского кодекса Российской Федерации, положениями Федерального закона от 02.10.2007 № 229-ФЗ «Об исполнительном производстве», признав неподтвержденным факт совершения оспариваемого договора с целью уклонения от уплаты денежных средств кредиторам, установив, что договор не противоречит нормам действующего законодательства и не нарушает права третьих лиц, принимая во внимание уведомление общества о состоявшейся уступке, суды первой и апелляционной инстанции пришли к выводу об отсутствии оснований для удовлетворения исковых требований, с чем впоследствии согласился суд округа. Изложенные в кассационной жалобе доводы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