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09.09.2020, оставленным без изменения постановлением Девятого арбитражного апелляционного суда от 2 21.01.2021 и постановлением Арбитражного суда Московского округа от 16.04.2021, заявленные требования удовлетворены.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сторонами заключен контракт № 1410-01-ПО (СУБ) от 09.10.2014, по условиям которого обществом выполнялась поставка оборудования, а также выполнялись сопутствующие работы по доставке, сборке, пусконаладке и шеф-монтажу оборудования и другие дополнительные работы. Цена контракта составила 191 250 000 рублей. Предприятием произведено авансирование в размере 153 000 000 рублей, общество исполнило обязательства и поставило предприятию товар на сумму 187 425 000 рублей. Неисполнение предприятием обязательств по оплате работ в полном объеме послужило основанием для выставления соответствующей претензии и обращения общества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26.10.2002 № 127-ФЗ «О несостоятельности (банкротстве)» (далее - Закон о банкротстве), пришли к выводу о наличии оснований для удовлетворения исковых требований, с чем согласился суд округа. Судебные инстанции указали, что обязательство по оплате работ наступило до открытия в отношении общества процедуры конкурсного производства, в связи с чем, предприятие имело возможность осуществить 3 соотнесение взаимных предоставлений по прекращенным договорам до (или на момент) включения его требований в реестр требований кредиторов. Отклоняя довод ответчика о зачете требования покупателя об оплате неустойки за просрочку поставки продукции в размере 13 347 339 рублей, подтвержденной вступившим в законную силу определением Арбитражного суда города Москвы от 27.12.2019 по делу № А40-162552/18, суды отметили, что указанный зачет недопустим в силу положений Закона о банкротстве. Иные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 и иное толкование норм материального права, в связи с чем не могут служить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военно-строительное управление по специальным объектам»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