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06.10.2020, оставленным без изменения постановлениями Десятого арбитражного апелляционного суда от 16.12.2020 и Арбитражного суда Московского округа от 15.04.2021,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издано распоряжение от 29.08.2019 № 4 об отнесении общества к средней категории риска. Общество, считая свои права нарушенными и указывая на то, что основания для отнесения его к средней категории риска отсутствуют, обратилось в арбитражный суд. Исследовав и оценив представленные в материалы дела доказательства,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утвержденными постановлением Правительства Российской Федерации от 17.08.2016 № 806 «О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Федерации», Положением о федеральном государственном санитарно-эпидемиологическом надзоре, утвержденным постановлением Правительства Российской Федерации от 05.06.2013 № 476, Методическими рекомендациями МР 5.1.0116-17 «Риск-ориентированная модель контрольно-надзорной деятельности в сфере обеспечения санитарно-эпидемиологического благополучия. Классификация хозяйствующих субъектов, видов деятельности и объектов надзора по потенциальному риску причинения вреда здоровью человека для организации плановых контрольно-надзорных мероприятий», утвержденными Федеральной службой по надзору в сфере защиты прав потребителей и благополучия человека 11.08.2017, суды пришли к выводу о том, что оспариваемое распоряжение соответствует требованиям действующего законодательства, не нарушает права и интересы заявителя. При этом судебные инстанции исходили из того, что отнесение общества к средней категории риска осуществлено на основании критериев отнесения объектов государственного надзора к категориям риска согласно требованиям действующего законодательства. Доводы, изложенные в кассационной жалобе, основаны на неверном толковании норм материального права,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 Золотой Гусь» ТМ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"Золотой Гусь" ТМ (подробнее) Ответчики: Управление Федеральной службы по надзору в сфере защиты прав потребителей и благополучия человека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