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17.11.2020, оставленным без изменения постановлением Седьмого арбитражного апелляционного суда от 15.02.2021 и постановлением Арбитражного суда Западно-Сибирского округа от 26.04.2021,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внеплановой выездной проверки управлением выявлен факт неисполнения обществом пунктов 1 и 4 ранее выданного предписания от 09.12.2019 № П28-1488: не осуществляется производственный контроль за соблюдением требований промышленной безопасности, представлены неполные и недостоверные сведения, характеризующие опасный производственный объект для регистрации в государственном реестре опасных производственных объектов. В целях исполнения предписания обществом в управление направлены заявления о внесении изменений в сведения, содержащиеся в реестре опасных производственных объектов. По результатам рассмотрения указанных заявлений управлением отказано во внесении изменений в сведения, содержащиеся в реестре, поскольку в нарушение пункта 11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утвержденных приказом Федеральной службы по экологическому, технологическому и атомному надзору от 25.11.2016 № 495 (далее - Требования № 495), обществом неверно идентифицирован опасный производственный объект. Указанные обстоятельства послужили основанием для выдачи обществу предписания от 06.03.2020 № П28-673. Не согласившись с предписанием,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21.07.1997 № 116-ФЗ «О промышленной безопасности опасных производственных объектов»,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объекте, утвержденными постановлением Правительства Российской Федерации от 10.03.1999 № 263, Требованиями № 495,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пришел к выводу о том, что предписание управления соответствует действующему законодательству и не 3 нарушает права и законные интересы заявителя, с чем согласились суды апелляционной инстанции и округа Судебные инстанции указали, что общество производит инициирующие взрывчатые вещества, что подтверждается наличием и применением комплексов оборудования по производству инициирующих взрывчатых веществ, а также занимается производством изделий, их содержащих (капсюлей-воспламенителей, капсюлей-детонаторов и др.); технологические процессы на предприятии включают в себя операции, начиная от поступления сырья и заканчивая выдачей готовой продукции; для обеспечения проведения технологических операций применяются специальные автомобили для перевозки взрывчатых веществ, материалов и изделий, их содержащих, в связи с чем относится к объектам спецхимии. Согласно пункту 2 приложения № 2 к Закону № 116-ФЗ для объектов по хранению химического оружия, объектов по уничтожению химического оружия и опасных производственных объектов спецхимии устанавливается I класс опасности, в то время как обществом спорный объект отнесен ко II классу опасности. Установив указанные обстоятельства, суды пришли к выводу о законности оспоренного предписания.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«Новосибирский механический завод «Искра»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