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Арбитражный суд Красноярского края с иском, уточненным в порядке статьи 49 Арбитражного процессуального кодекса Российской Федерации, к акционерному обществу «Искра-Прибор» (далее - компания) о взыскании 690 523 руб. 33 коп. неосновательного обогащения, 88 680 руб. 22 коп. процентов за пользование чужими денежными средствами. Компания предъявила встречный иск, уточненный в порядке статьи 49 Арбитражного процессуального кодекса Российской Федерации, о взыскании с общества задолженности по арендной плате за период с 27.03.2018 по 06.05.2018 в размере 687 134 руб. 36 коп., упущенной выгоды за период с 07.05.2018 по 11.07.2018 в размере 1 091 559 руб. 68 коп., а также стоимости восстановительного ремонта в размере 97 232 руб. Решением Арбитражного суда Красноярского края от 04.02.2020 первоначальные требования удовлетворены частично, с компании в пользу общества взыскано 766 684 руб. 06 коп., в том числе 690 523 руб. 33 коп. основного долга, 76 160 руб. 73 коп. процентов за пользование чужими денежными средствами, 17 034 руб. 80 коп. судебных расходов по уплате 2 государственной пошлины, в остальной части требований отказано. Встречные требования удовлетворены частично, с общества в пользу компании взыскано 97 232 руб. стоимости восстановленного ремонта, 719 руб. 12 коп. судебных расходов по уплате государственной пошлины, 28 000 рублей судебных расходов по оплате экспертизы, в остальной части требований отказано. Произведен зачет удовлетворенных требований. Общество обратилось в арбитражный суд с заявлением о взыскании с компании 102 558 руб. судебных расходов. Определением Арбитражного суда Красноярского края от 17.09.2020, оставленным без изменения постановлением Третьего арбитражного апелляционного суда от 15.01.2021 и постановлением Арбитражного суда Восточно-Сибирского округа от 29.03.2021, заявление общества возвращено. В кассационной жалобе, поданной в Верховный Суд Российской Федерации, общество просит отменить указанные судебные акты, ссылаясь на их незаконность.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Возвращая обществу заявление о взыскании судебных расходов, суд первой инстанции, выводы которого впоследствии поддержали суды апелляционной инстанции и округа, руководствовался статьями 112, 114 Арбитражного процессуального кодекса Российской Федерации, разъяснениями, изложенными в постановлении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и исходил из пропуска установленного срока подачи заявления и отсутствия ходатайства о его восстановлении. Доводы кассационной жалобы были предметом рассмотрения судов и получили правовую оценку, не опровергают выводы судов и не подтверждают существенных нарушений судами норм права, повлиявших на исход дела. Учитывая изложенное и руководствуясь статьями 291.6, 291.8 Арбитражного процессуального кодекса Российской Федерации, судья Верховного Суда Российской Федерации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«ОСГ Рекордз Менеджмент Центр»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