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суд с иском о привлечении ФИО2, ФИО3 и ФИО4 (далее – ответчики) к субсидиарной ответственности в размере 343 200 рублей. Решением Арбитражного суда города Москвы от 15.09.2020, оставленным без изменения постановлениями Девятого арбитражного апелляционного суда от 09.12.2020 и Арбитражного суда Московского округа от 10.03.2021, в удовлетворении исковых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иска в полном объёме.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статьями 53.1 , 56 Гражданского кодекса Российской Федерации, разъяснениями, содержащимися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от 21.12.2017 № 53 «О некоторых вопросах, связанных с привлечением контролирующих должника лиц к ответственности при банкротстве», исходили из отсутствия совокупности условий для привлечения ответчиков к субсидиарной ответственности по долгам общества с ограниченной ответственностью «Л- Вуд».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