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01.10.2020, оставленным без изменения постановлениями Девятого арбитражного апелляционного суда от 15.12.2020 и Арбитражного суда Московского округа от 16.03.2021, завершена процедура реализация имущества должника, в отношении ФИО1 не были применены правила об освобождении от дальнейшего исполнения обязательств. В кассационной жалобе, поданной в Верховный Суд Российской Федерации, заявитель просит отменить указанные судебные акты в части неприменения правил об освобождении от дальнейшего исполнения обязательств,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10 Гражданского кодекса Российской Федерации, статьи 213.28 Федерального закона от 26.10.2002 № 127-ФЗ «О несостоятельности (банкротстве)», указав на конкретные действия ФИО1, не отвечающие критерию добросовестного поведения, пришли к выводу о наличии оснований для неприменения правил об освобождении от дальнейшего исполнения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Русский Стандарт" (подробнее) Иные лица: Арбитражный суд г.Москвы (подробнее) Ассоциации СОАУ "Меркурий" (подробнее) ПАУ ЦФО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