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«Техноэксперт» (далее – общество) обратилось в суд с заявлением о включении в реестр требований кредиторов должника (далее – реестр) задолженности в размере 24 679 046 рублей. Определением Арбитражного суда Ульяновской области от 25.11.2020. оставленным без изменения постановлениями Одиннадцатого арбитражного апелляционного суда от 08.02.2021 и Арбитражного суда Поволжского округа от 13.04.2021,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Ульяновской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137,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общества подтверждено документально, заявлено в установленный законом срок и не исполнено должником, в связи с чем пришли к выводам об обоснованности и наличии оснований для включения его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«Агрохим – XXI»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