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«МеркурийЭнерго» (далее – ООО «МеркурийЭнерго») обратилось в Арбитражный суд Владимирской области с иском к акционерному обществу «ПромСтройПроект» (далее – АО «ПромСтройПроект») об обязании возвратить имущество, переданное на ответственное хранение.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«Бакулин Моторс Групп». Определением Арбитражного суда Владимирской области от 13.10.2020, оставленным без изменения постановлением Первого арбитражного апелляционного суда от 14.12.2020 и постановлением Арбитражного суда Волго- Вятского округа от 16.03.2021, заявленные требования оставлены без рассмотрения.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2 В обоснование доводов жалобы заявитель указывает на неправильное применение статьи 148 Арбитражного процессуального кодекса Российской Федерации (далее – АПК РФ), статей 126, 131 Федерального закона от 26.10.2002 № 127-ФЗ «О несостоятельности (банкротстве)» (далее – Закон № 127-ФЗ), в связи с чем сделан ошибочный вывод, что требование истца о возврате имущества подлежит предъявлению в рамках дела о банкротстве ответчика.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ссылаясь на невозврат АО «ПромСтройПроект» переданного на хранение имущества, ООО «МеркурийЭнерго»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статьей 148 названного Кодекса, статьями 63, 100, 126, 131 Закона № 127-ФЗ, разъяснениями, изложенными в пункте 34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пункте 33 Обзора судебной практики Верховного Суда Российской Федерации № 3, утвержденного Президиумом Верховного Суда Российской Федерации 19.10.2016, суды, приняв во внимание, что решением Арбитражного суда Владимирской области от 18.03.2020 по делу № А11-10417/2019 АО «ПромСтройПроект» признано несостоятельным (банкротом), оставили требования по настоящему делу без рассмотрения, придя к правильным выводам, что они подлежит рассмотрению в деле о банкротстве должника.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«МеркурийЭнерго» для рассмотрения в судебном заседании 3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