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задолженности в размере 4 860 833 рубля 57 копеек. Определением Арбитражного суда города Москвы от 27.08.2020, оставленным без изменения постановлениями Девятого арбитражного апелляционного суда от 23.11.2020 и Арбитражного суда Московского округа от 10.03.2021,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142, 148 Федерального закона от 26.10.2002 № 127-ФЗ «О несостоятельности (банкротстве)» и исходили из того, что несмотря на свой реальный характер, требование общества направлено на изъятие компенсационного финансирования, ранее предоставленного заинтересованным лицом должнику в период имущественного кризиса, в связи с чем признали его подлежащим удовлетворению в очерёдности, предшествующей распределению ликвидационной квоты.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«Реал 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