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Управляющая компания «Демидовское» (далее – кредитор) обратилось в суд с жалобой на бездействие финансового управляющего, выразившееся в уклонении рассмотрения требования кредитора об уплате текущих платежей; в неуплате текущих платежей в виде платы за жилое помещение и коммунальные услуги в отношении квартир должника № 89, 90 в доме № 29 по ул. Строителей в г. Первоуральске за период с 01.06.2017 по 31.05.2020. Определением Арбитражного суда Свердловской области от 19.10.2020, оставленным без изменения постановлениями Семнадцатого арбитражного апелляционного суда от 30.12.2020 и Арбитражного суда Уральского округа от 10.03.2021, жалоба удовлетворена. В кассационной жалобе, поданной в Верховный Суд Российской Федерации, заявитель просит отменить названные судебные акты и принять по обособленному спору новый судебный акт об отказе в удовлетворении жалобы.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не установлено Разрешая спор, суды, руководствуясь статьями 20.3, 60, 213.9, 213.27 Федерального закона от 26.10.2002 № 127-ФЗ «О несостоятельности (банкротстве)», исходили из обоснованности заявленной жалобы и незаконности оспариваемого бездействия финансового управляющего должником.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Углова Андрея Владимировича Гордееву Павлу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