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16.09.2020, оставленным без изменения постановлением Тринадцатого арбитражного апелляционного суда от 29.12.2020 и постановлением Арбитражного суда Северо-Западного округа от 29.03.2021,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2 права, просит отменить указанные судебные акты и принять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393 Гражданского кодекса Российской Федерации, суды первой и апелляционной инстанций пришли к выводу об отсутствии оснований для удовлетворения иска, исходя из недоказанности истцом факта нарушения ответчиком договорных обязательств, которые привели к возникновению у истца убытков. Суд округа согласился с выводами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«Фортрент»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