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30.09.2020, оставленным без изменения постановлением Пятнадцатого арбитражного апелляционного суда от 09.12.2020 и постановлением Арбитражного суда Северо-Кавказского округа от 06.14.2021, с общества в пользу компании взыскано 242 732 руб. 29 коп. неустойки, в удовлетворении остальной части иска отказано.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Частично удовлетворяя исковые требования компании, получившей право требования взыскания денежных средств на основании договора цессии с участником долевого строительства, суды первой и апелляционной инстанций руководствовались положениями статей 307, 309, 310, 330, 382, 384, 388 Гражданского кодекса Российской Федерации,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разъяснениями,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и исходили из правомерности начисления неустойки ввиду подтвержденности факта нарушения обществом срока передачи объекта долевого строительства, уменьшив размер неустойки по правилам статьи 333 Гражданского кодекса Российской Федерации с учетом соответствующего заявления ответчика. Впоследствии с указанными выводами согласился суд округа. Доводы кассационной жалобы не опровергают выводы судов,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«Европа Девелопмент»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