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Курской области от 30.11.2020, оставленным без изменения постановлениями Девятнадцатого арбитражного апелляционного суда от 19.02.2021 и Арбитражного суда Центрального округа от 30.04.2021, конкурсным управляющим должником утверждён Федотов Михаил Сергеевич, член ассоциации «Саморегулируемая организация арбитражный управляющих «Меркурий». В кассационной жалобе, поданной в Верховный Суд Российской Федерации, заявитель просит отменить названные судебные акты, принять по делу новый судебный акт об утверждении конкурсным управляющим должника Гутенёва Николая Николаевича, члена Союза «Саморегулируемая организация арбитражных управляющих «Стратегия».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Утверждая Фёдорова М.С. конкурсным управляющим должником, суды руководствовались статьями 12, 45, 145 Федерального закона от 26.10.2002 № 127-ФЗ «О несостоятельности (банкротстве)» и исходили из того, что его кандидатура соответствовала требованиям законодательства о банкротстве. Выводы судов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Золотухину Александру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