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27.02.2020, оставленным без изменения постановлением Десятого арбитражного апелляционного суда от 05.11.2020 и постановлением Арбитражного суда Московского округа от 23.03.2021, в удовлетворении первоначальных исковых требований отказано, встречные исковые требования удовлетворены. В кассационной жалобе, поданной в Верховный Суд Российской Федерации, общество, ссылаясь на несоответствие выводов судов фактическим обстоятельствам дела, просит отменить указанные судебные акты и направить дело на новое рассмотрение в Арбитражный суд Московской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330, 450.1, 506, 516, 525, 526 Гражданского кодекса Российской Федерации, суды первой и апелляционной инстанций пришли к выводу об отсутствии оснований для удовлетворения первоначальных требований и обоснованности встречных требований, исходя из недоказанности факта поставки обществом товара компании на заявленную сумму и подтвержденности ненадлежащего исполнения обществом обязательств по спорному контракту.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а направлены на переоценку установленных по делу фактических обстоятельств, в связи с чем не могут являться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«ТД Автосоюз»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