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(далее – реестр) задолженности в размере 290 747 225 рублей 59 копеек. Определением Арбитражного суда города Москвы от 27.08.2020, оставленным без изменения постановлениями Девятого арбитражного апелляционного суда от 23.11.2020 и Арбитражного суда Московского округа от 10.03.2021, требование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71, 100, 142, 148 Федерального закона от 26.10.2002 № 127-ФЗ «О несостоятельности (банкротстве)» и исходили из того, что несмотря на свой реальный характер, требование компании направлено на изъятие компенсационного финансирования, ранее предоставленного заинтересованным лицом должнику в период имущественного кризиса, в связи с чем, признали его подлежащим удовлетворению в очерёдности, предшествующей распределению ликвидационной квоты.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Ургула Платинум Лимитед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