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ходе рассмотрения спора ответчиком подано ходатайство о передаче дела в Санкт-Петербургский городской суд для направления его в суд общей юрисдикции по подсудности. Определением Арбитражного суда города Санкт-Петербурга и Ленинградской области от 10.09.2018 в удовлетворении указанного ходатайства отказано. Апелляционный суд постановлением от 12.03.2021 названное определение отменил, ходатайство банка удовлетворил. В кассационной жалобе, поданной в Верховный Суд Российской Федерации, заявитель указывает на нарушения в толковании и применении апелляционным судом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 АПК РФ) основания для передачи жалобы для рассмотрения в судебном заседании отсутствуют. Отменяя определение суда первой инстанции и передавая дело в Санкт- Петербургский городской суд для направления его в суд общей юрисдикции, суд апелляционной инстанции исходил из того, что настоящий спор о взыскании убытков по заявлению физического лица должен быть предъявлен по правилам, установленным гражданским процессуальным законодательством, в суд общей юрисдикции, поэтому не подлежит рассмотрению в арбитражном суде. При этом суд руководствовался положениями статей 27 , 225.1 АПК РФ , статей 15 , 393 , 401 Гражданского кодекса Российской Федерации, статьи 213.25 Закона о банкротстве, разъяснениями, приведенными в постановлении Пленума Верховного Суда Российской Федерации от 09.07.2019 N 26 "О некоторых вопросах применения Гражданского процессуального кодекса Российской Федерации, Арбитражного процессуального кодекса Российской Федерации, Кодекса административного судопроизводства Российской Федерации в связи с введением в действие Федерального закона от 28.11.2018 № 451-ФЗ", абзаце 4 пункта 6 постановления Пленума Верховного Суда Российской Федерации от 30.06.2020 N 12 "О применении Арбитражного процессуального кодекса Российской Федерации при рассмотрении дел в арбитражном суде апелляционной инстанции". Оснований не согласиться с указанными выводами не имеется.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представлено.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Ф/у Бетехтиной Раисы (подробнее) Ф/у Бетехтиной Раисы Юрьевны Старицына Виктория Григорьевна (подробнее) Ответчики: ПАО ВТБ (подробнее) Иные лица: ПАО Банк ВТБ (подробнее) Судьи дела: Самуйлов С.В. (судья) (подробнее) Последние документы по делу: Определение от 12 июля 2021 г. по делу № А56-105768/2020 Определение от 10 июня 2021 г. по делу № А56-105768/2020 Показать все документы по этому делу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