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Шендерей Евгений Эдуардович обратился в суд с заявлением об утверждении процентов по вознаграждению в размере 372 079 рублей 88 копеек. Определением Арбитражного суда Самарской области от 02.10.2020, оставленным без изменения постановлениями Одиннадцатого арбитражного апелляционного суда от 14.12.2020 и Арбитражного суда Поволжского округа от 12.03.2021, заявление удовлетворено.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удовлетворении заявления на сумму 2 840 рублей 60 копеек.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абзацем вторым пункта 17 статьи 20.6, пунктом 3 статьи 213.9 Федерального закона от 26.10.2002 № 127-ФЗ «О несостоятельности (банкротстве)», пунктом 5 постановления Пленума Высшего Арбитражного Суда Российской Федерации от 25.12.2013 № 97 «О некоторых вопросах, связанных с вознаграждением арбитражного управляющего при банкротстве», пришли к выводу о наличии оснований для установления финансовому управляющего процентов по вознаграждению ввиду совершения последним мероприятий, повлекших за собой поступление денежных средств в конкурсную массу.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Яркину Владимиру Валерьевичу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