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05.10.2020, оставленным без изменения постановлением Девятого арбитражного апелляционного суда от 21.12.2020 и постановлением Арбитражного суда Московского округа от 15.03.2021, в удовлетворении исковых требований отказано. В кассационной жалобе, поданной в Верховный Суд Российской Федерации, организация, ссылаясь на нарушение судами норм права, просит 2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не установив оснований для взыскания спорной суммы, а также признав пропущенным срок исковой давности, руководствуясь положениями Гражданского кодекса Российской Федерации, суды первой и апелляционной инстанций отказали в удовлетворении исковых требований, с чем впоследствии согласился суд округа. Доводов, подтверждающих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в кассационной жалобе не приведено.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автономной некоммерческой организации «Лаборатория по производству судебной экспертизы объектов патентных прав и средств индивидуализации»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