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кредитор обратился в суд с жалобой на действия (бездействие) финансового управляющего имуществом должника Меркушина Вадима Владимировича, требованием об отстранении от исполнения возложенных на него обязанностей. Определением Арбитражного суда Оренбургской области от 14.10.2020 заявленные требования удовлетворены частично. Постановлением Восемнадцатого арбитражного апелляционного суда от 15.12.2020 данное определение изменено, резолютивная часть изложена в новой редакции. Признано незаконным бездействие финансового управляющего, выразившееся в: несвоевременном принятии мер по установлению недвижимого имущества на земельном участке должника, пристроенного к дому должника (Оренбургская обл., Новосергиевский р-он, с. Герасимовка, д. 3а): не проведении его инвентаризации, не отражения в отчёте, не проведении осмотра и оценки, не принятии мер по регистрации на него права собственности должника – в случае, если это незарегистрированный объект недвижимости; в несвоевременном истребовании из Росреестра и у должника договора купли-продажи от 06.04.2007 (далее – сделка), заключенного между должником и бывшим собственником дома, в отсутствии проверки финансовых расчётов между сторонами сделки. Постановлением Арбитражного суда Уральского округа от 10.03.2021 отменено постановление апелляционного суда в части удовлетворения заявленных требований, в удовлетворении требований кредитора отказано. 2 В остальной части постановление апелляционного суда от 15.12.2020 оставлено без изменения. В кассационной жалобе, поданной в Верховный Суд Российской Федерации, заявитель просит отменить постановление суда округа, оставить в силе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постановление апелляционного суда в обжалуемой финансовым управляющим части, суд округа, руководствуясь статьями 20.3, 60, 213.9, 213.25 Федерального закона от 26.10.2002 № 127-ФЗ «О несостоятельности (банкротстве)», исходил из фактических обстоятельств, связанных с отсутствием у заявителя статуса залогового кредитора, оснований для включения недвижимого имущества должника (являющегося его единственным жильём) в конкурсную массу, возможности реализации надворных построек отдельно от жилого дома, бесперспективностью оспаривания сделки с учётом даты её совершения, в связи с чем не установил оснований для удовлетворения жалобы кредитора. Оспариваемое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Существенных нарушений норм материального 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Ганешину Денису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