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Мусаев Саид Нурмагомедович обратился в суд с заявлением о взыскании с общества как заявителя по делу фиксированного вознаграждения в размере 119 000 рублей и 2 581 рубля 05 копеек расходов, понесённых в процедуре банкротства. Определением Арбитражного суда города Москвы от 09.09.2020, оставленным без изменения постановлениями Девятого арбитражного апелляционного суда от 10.12.2020 и Арбитражного суда Московского округа от 12.03.2021,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20.6, 20.7, 59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пришли к выводу о том, что бывший конкурсный управляющий должником Мусаев С.Н. вправе претендовать на причитающиеся ему суммы фиксированного вознаграждения и фактически понесённые расходы. Оценивая и отклоняя доводы заявителя о привлечении Мусаева С.Н. к административной ответственности по заявлению Управления Федеральной службы государственной регистрации, кадастра и картографии по Москве в рамках рассмотрения дела № А40-127932/2020 Арбитражного суда города Москвы, суды исходили из того, что его действия, связанные с неопубликованием в газете «Коммерсантъ» сообщения об освобождении от исполнения обязанностей конкурсного управляющего должником, не повлекли за собой возникновения дополнительных необоснованных расходов, причинения вреда и убытков.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«Сервис-Ресурс»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